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wildtec.ru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wildtec.ru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wildtec.ru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wildtec.ru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77FE6AF5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2026-02-21T20:26:17Z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